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93B70" w14:textId="6B0CEC2C" w:rsidR="00275D53" w:rsidRPr="00C003D8" w:rsidRDefault="00275D53" w:rsidP="00C003D8">
      <w:pPr>
        <w:jc w:val="center"/>
        <w:rPr>
          <w:b/>
          <w:bCs/>
        </w:rPr>
      </w:pPr>
      <w:r w:rsidRPr="00C003D8">
        <w:rPr>
          <w:b/>
          <w:bCs/>
        </w:rPr>
        <w:t xml:space="preserve">CCTP </w:t>
      </w:r>
      <w:r w:rsidR="00C003D8" w:rsidRPr="00C003D8">
        <w:rPr>
          <w:b/>
          <w:bCs/>
        </w:rPr>
        <w:t xml:space="preserve">« TYPE » - Lot </w:t>
      </w:r>
      <w:r w:rsidRPr="00C003D8">
        <w:rPr>
          <w:b/>
          <w:bCs/>
        </w:rPr>
        <w:t>Gros Œuvre</w:t>
      </w:r>
      <w:r w:rsidR="001B012F">
        <w:rPr>
          <w:b/>
          <w:bCs/>
        </w:rPr>
        <w:t xml:space="preserve"> – </w:t>
      </w:r>
      <w:r w:rsidR="009316DD">
        <w:rPr>
          <w:b/>
          <w:bCs/>
        </w:rPr>
        <w:t>Façades non porteuses</w:t>
      </w:r>
      <w:r w:rsidR="001B012F">
        <w:rPr>
          <w:b/>
          <w:bCs/>
        </w:rPr>
        <w:t xml:space="preserve"> en béton de bois</w:t>
      </w:r>
    </w:p>
    <w:p w14:paraId="32D22166" w14:textId="32E841DE" w:rsidR="00BC4B43" w:rsidRDefault="00BC4B43" w:rsidP="00BC4B43"/>
    <w:p w14:paraId="1333BE1D" w14:textId="0973054D" w:rsidR="002D6C47" w:rsidRDefault="002D6C47" w:rsidP="00BC4B43">
      <w:r>
        <w:t xml:space="preserve">Mise en œuvre de </w:t>
      </w:r>
      <w:r w:rsidR="009316DD">
        <w:t>panneaux de façades</w:t>
      </w:r>
      <w:r>
        <w:t xml:space="preserve"> en béton de bois de type TimberRoc ou équivalent.</w:t>
      </w:r>
    </w:p>
    <w:p w14:paraId="01C18532" w14:textId="781F8423" w:rsidR="002D6C47" w:rsidRDefault="002D6C47" w:rsidP="00BC4B43"/>
    <w:p w14:paraId="6C1D1CAA" w14:textId="14A91D0A" w:rsidR="002D6C47" w:rsidRDefault="00C51505" w:rsidP="00BC4B43">
      <w:r>
        <w:t xml:space="preserve">Les </w:t>
      </w:r>
      <w:r w:rsidR="009316DD">
        <w:t>panneaux de façades non porteuses</w:t>
      </w:r>
      <w:r w:rsidR="00230635">
        <w:t xml:space="preserve"> seront </w:t>
      </w:r>
      <w:r w:rsidR="002D6C47">
        <w:t>constitués d</w:t>
      </w:r>
      <w:r w:rsidR="00230635">
        <w:t>’éléments</w:t>
      </w:r>
      <w:r w:rsidR="002D6C47">
        <w:t xml:space="preserve"> préfabriqués</w:t>
      </w:r>
      <w:r w:rsidR="00800742">
        <w:t xml:space="preserve"> </w:t>
      </w:r>
      <w:r w:rsidR="00230635">
        <w:t>en béton de bois (</w:t>
      </w:r>
      <w:r w:rsidR="006462E8">
        <w:t>procédé TimberRoc ou équivalent), procédé de construction disposant d’un ATEx ou d’un Avis Technique. Les éléments seront</w:t>
      </w:r>
      <w:r w:rsidR="002D6C47">
        <w:t xml:space="preserve"> </w:t>
      </w:r>
      <w:r>
        <w:t xml:space="preserve">fabriqués </w:t>
      </w:r>
      <w:r w:rsidR="002D6C47">
        <w:t xml:space="preserve">à partir de bois labellisé </w:t>
      </w:r>
      <w:r>
        <w:t>« </w:t>
      </w:r>
      <w:r w:rsidR="002D6C47">
        <w:t>Bois de France</w:t>
      </w:r>
      <w:r>
        <w:t> »</w:t>
      </w:r>
      <w:r w:rsidR="00981048">
        <w:t xml:space="preserve"> et provenant d’exploitants labellisés PEFC.</w:t>
      </w:r>
    </w:p>
    <w:p w14:paraId="6B014D78" w14:textId="2C05E284" w:rsidR="002D6C47" w:rsidRDefault="002D6C47" w:rsidP="00BC4B43"/>
    <w:p w14:paraId="78CFA769" w14:textId="159359AF" w:rsidR="002D6C47" w:rsidRDefault="00C51505" w:rsidP="00BC4B43">
      <w:r>
        <w:t xml:space="preserve">Dimensionnements suivant calculs et nécessité </w:t>
      </w:r>
      <w:r w:rsidR="009316DD">
        <w:t>du projet.</w:t>
      </w:r>
    </w:p>
    <w:p w14:paraId="6F728519" w14:textId="2ABA1C85" w:rsidR="002D6C47" w:rsidRDefault="002D6C47" w:rsidP="00BC4B43"/>
    <w:p w14:paraId="40E4E911" w14:textId="52C2CBED" w:rsidR="00C51505" w:rsidRDefault="00C51505" w:rsidP="00BC4B43">
      <w:r>
        <w:t>La prestation comprend :</w:t>
      </w:r>
    </w:p>
    <w:p w14:paraId="16162675" w14:textId="633C32FA" w:rsidR="00C51505" w:rsidRDefault="00C51505" w:rsidP="00C51505">
      <w:pPr>
        <w:pStyle w:val="Paragraphedeliste"/>
        <w:numPr>
          <w:ilvl w:val="0"/>
          <w:numId w:val="2"/>
        </w:numPr>
      </w:pPr>
      <w:r>
        <w:t>Fourniture et pose des panneaux en béton de bois</w:t>
      </w:r>
    </w:p>
    <w:p w14:paraId="62CD3FB6" w14:textId="7DF58317" w:rsidR="00981048" w:rsidRPr="0044151F" w:rsidRDefault="00981048" w:rsidP="00C51505">
      <w:pPr>
        <w:pStyle w:val="Paragraphedeliste"/>
        <w:numPr>
          <w:ilvl w:val="0"/>
          <w:numId w:val="2"/>
        </w:numPr>
      </w:pPr>
      <w:r w:rsidRPr="0044151F">
        <w:t>Semelle ou relevé anticapillarité (uniquement pour panneaux RDC</w:t>
      </w:r>
      <w:r w:rsidR="00CE26B6">
        <w:t xml:space="preserve"> et balcons/loggias</w:t>
      </w:r>
      <w:r w:rsidRPr="0044151F">
        <w:t>)</w:t>
      </w:r>
    </w:p>
    <w:p w14:paraId="2E86DCA4" w14:textId="77777777" w:rsidR="001714A0" w:rsidRPr="0044151F" w:rsidRDefault="00C51505" w:rsidP="001714A0">
      <w:pPr>
        <w:pStyle w:val="Paragraphedeliste"/>
        <w:numPr>
          <w:ilvl w:val="0"/>
          <w:numId w:val="2"/>
        </w:numPr>
      </w:pPr>
      <w:r w:rsidRPr="0044151F">
        <w:t>Préparation des supports</w:t>
      </w:r>
    </w:p>
    <w:p w14:paraId="758BA216" w14:textId="7278F804" w:rsidR="00C51505" w:rsidRPr="0044151F" w:rsidRDefault="00C51505" w:rsidP="001714A0">
      <w:pPr>
        <w:pStyle w:val="Paragraphedeliste"/>
        <w:numPr>
          <w:ilvl w:val="0"/>
          <w:numId w:val="2"/>
        </w:numPr>
      </w:pPr>
      <w:r w:rsidRPr="0044151F">
        <w:t xml:space="preserve">Vérification </w:t>
      </w:r>
      <w:r w:rsidR="001714A0" w:rsidRPr="0044151F">
        <w:t>des tolérances de la structure</w:t>
      </w:r>
    </w:p>
    <w:p w14:paraId="542E2F84" w14:textId="45641045" w:rsidR="009316DD" w:rsidRPr="0044151F" w:rsidRDefault="009316DD" w:rsidP="009316DD">
      <w:pPr>
        <w:pStyle w:val="Paragraphedeliste"/>
        <w:numPr>
          <w:ilvl w:val="0"/>
          <w:numId w:val="2"/>
        </w:numPr>
      </w:pPr>
      <w:r w:rsidRPr="0044151F">
        <w:t>Fourniture et pose des équerres de fixations des panneaux</w:t>
      </w:r>
    </w:p>
    <w:p w14:paraId="317B1AAB" w14:textId="68417664" w:rsidR="009316DD" w:rsidRPr="0044151F" w:rsidRDefault="009316DD" w:rsidP="009316DD">
      <w:pPr>
        <w:pStyle w:val="Paragraphedeliste"/>
        <w:numPr>
          <w:ilvl w:val="0"/>
          <w:numId w:val="2"/>
        </w:numPr>
      </w:pPr>
      <w:r w:rsidRPr="0044151F">
        <w:t>Fourniture et pose des bandes de désolidarisation (laine de roche)</w:t>
      </w:r>
    </w:p>
    <w:p w14:paraId="555162ED" w14:textId="3E73B7E0" w:rsidR="00A95CED" w:rsidRDefault="00A95CED" w:rsidP="00A3036E">
      <w:pPr>
        <w:pStyle w:val="Paragraphedeliste"/>
        <w:numPr>
          <w:ilvl w:val="0"/>
          <w:numId w:val="2"/>
        </w:numPr>
      </w:pPr>
      <w:r>
        <w:t>Les moyens d’accès et de sécurité (garde-corps, escalier, plateforme, …)</w:t>
      </w:r>
    </w:p>
    <w:p w14:paraId="2810BBD7" w14:textId="6BD13E56" w:rsidR="00A3036E" w:rsidRDefault="00981048" w:rsidP="00A3036E">
      <w:pPr>
        <w:pStyle w:val="Paragraphedeliste"/>
        <w:numPr>
          <w:ilvl w:val="0"/>
          <w:numId w:val="2"/>
        </w:numPr>
      </w:pPr>
      <w:r>
        <w:t>Maintien et réglage</w:t>
      </w:r>
      <w:r w:rsidR="00A3036E">
        <w:t xml:space="preserve"> des panneaux en béton de bois</w:t>
      </w:r>
      <w:r>
        <w:t xml:space="preserve"> par étais tirant-poussants</w:t>
      </w:r>
    </w:p>
    <w:p w14:paraId="16EE1B72" w14:textId="50E4457F" w:rsidR="00C51505" w:rsidRDefault="00A3036E" w:rsidP="00C51505">
      <w:pPr>
        <w:pStyle w:val="Paragraphedeliste"/>
        <w:numPr>
          <w:ilvl w:val="0"/>
          <w:numId w:val="2"/>
        </w:numPr>
      </w:pPr>
      <w:r>
        <w:t>Evacuation</w:t>
      </w:r>
      <w:r w:rsidR="00C51505">
        <w:t xml:space="preserve"> des étaiements</w:t>
      </w:r>
    </w:p>
    <w:p w14:paraId="2564822A" w14:textId="77777777" w:rsidR="00B068A1" w:rsidRPr="004A7E57" w:rsidRDefault="00B068A1" w:rsidP="00B068A1">
      <w:pPr>
        <w:rPr>
          <w:b/>
          <w:bCs/>
        </w:rPr>
      </w:pPr>
      <w:r w:rsidRPr="004A7E57">
        <w:rPr>
          <w:b/>
          <w:bCs/>
        </w:rPr>
        <w:t>Prestation lot « Gros Œuvre » ou « Second Œuvre » :</w:t>
      </w:r>
    </w:p>
    <w:p w14:paraId="06420822" w14:textId="23C80AA9" w:rsidR="009316DD" w:rsidRDefault="009316DD" w:rsidP="00B068A1">
      <w:pPr>
        <w:pStyle w:val="Paragraphedeliste"/>
        <w:numPr>
          <w:ilvl w:val="0"/>
          <w:numId w:val="2"/>
        </w:numPr>
      </w:pPr>
      <w:r>
        <w:t xml:space="preserve">Calfeutrements </w:t>
      </w:r>
      <w:r w:rsidR="00FD7488">
        <w:t>à la mousse PU</w:t>
      </w:r>
      <w:r w:rsidR="00B068A1">
        <w:t xml:space="preserve"> flexible (Illbrück FM330 ou équivalent) en périphérie intérieur</w:t>
      </w:r>
      <w:r w:rsidR="004A7E57">
        <w:t>e</w:t>
      </w:r>
      <w:r w:rsidR="00B068A1">
        <w:t xml:space="preserve"> sur les 4 côtés des panneaux</w:t>
      </w:r>
    </w:p>
    <w:p w14:paraId="7AD084C9" w14:textId="46B7B793" w:rsidR="00B068A1" w:rsidRPr="004A7E57" w:rsidRDefault="00B068A1" w:rsidP="00B068A1">
      <w:pPr>
        <w:rPr>
          <w:b/>
          <w:bCs/>
        </w:rPr>
      </w:pPr>
      <w:r w:rsidRPr="004A7E57">
        <w:rPr>
          <w:b/>
          <w:bCs/>
        </w:rPr>
        <w:t>Prestation lot « Gros Œuvre » ou « Façade » :</w:t>
      </w:r>
    </w:p>
    <w:p w14:paraId="738A8D0C" w14:textId="77777777" w:rsidR="004A7E57" w:rsidRDefault="00B068A1" w:rsidP="00B068A1">
      <w:pPr>
        <w:pStyle w:val="Paragraphedeliste"/>
        <w:numPr>
          <w:ilvl w:val="0"/>
          <w:numId w:val="2"/>
        </w:numPr>
      </w:pPr>
      <w:r>
        <w:t xml:space="preserve">Calfeutrements à la mousse PU flexible (Illbrück FM330 ou équivalent) aux jonctions </w:t>
      </w:r>
      <w:r w:rsidR="004A7E57">
        <w:t>horizontales et verticales :</w:t>
      </w:r>
    </w:p>
    <w:p w14:paraId="1625A8C7" w14:textId="77777777" w:rsidR="004A7E57" w:rsidRDefault="004A7E57" w:rsidP="004A7E57">
      <w:pPr>
        <w:pStyle w:val="Paragraphedeliste"/>
        <w:numPr>
          <w:ilvl w:val="1"/>
          <w:numId w:val="2"/>
        </w:numPr>
      </w:pPr>
      <w:r>
        <w:t>Entre panneaux</w:t>
      </w:r>
    </w:p>
    <w:p w14:paraId="03D2D905" w14:textId="3DC89111" w:rsidR="00B068A1" w:rsidRDefault="004A7E57" w:rsidP="004A7E57">
      <w:pPr>
        <w:pStyle w:val="Paragraphedeliste"/>
        <w:numPr>
          <w:ilvl w:val="1"/>
          <w:numId w:val="2"/>
        </w:numPr>
      </w:pPr>
      <w:r>
        <w:t>Entre panneaux et structure</w:t>
      </w:r>
    </w:p>
    <w:p w14:paraId="47060560" w14:textId="77777777" w:rsidR="00D47CF0" w:rsidRDefault="00D47CF0" w:rsidP="00D47CF0"/>
    <w:p w14:paraId="6E1FFF25" w14:textId="6F99D076" w:rsidR="00D47CF0" w:rsidRDefault="00D47CF0" w:rsidP="00D47CF0">
      <w:r>
        <w:t>L’entreprise s’assurera de l’ad</w:t>
      </w:r>
      <w:r w:rsidR="00A95CED">
        <w:t>équation</w:t>
      </w:r>
      <w:r>
        <w:t xml:space="preserve"> de ses moyens de levage aux poids et à la position des panneaux en béton de bois.</w:t>
      </w:r>
    </w:p>
    <w:p w14:paraId="720E9233" w14:textId="77777777" w:rsidR="00D47CF0" w:rsidRDefault="00D47CF0" w:rsidP="00BC4B43"/>
    <w:p w14:paraId="5D5A3B71" w14:textId="5A3BCAEA" w:rsidR="00800742" w:rsidRDefault="00800742" w:rsidP="00BC4B43">
      <w:r>
        <w:t>Ce lot peut comprendre également, le cas échéant :</w:t>
      </w:r>
    </w:p>
    <w:p w14:paraId="1C03CBBA" w14:textId="29D138C3" w:rsidR="00800742" w:rsidRDefault="00800742" w:rsidP="00800742">
      <w:pPr>
        <w:pStyle w:val="Paragraphedeliste"/>
        <w:numPr>
          <w:ilvl w:val="0"/>
          <w:numId w:val="2"/>
        </w:numPr>
      </w:pPr>
      <w:r>
        <w:t>Toutes sujétions de traitement de tous les joints de liaison entre tous les éléments et les éléments de maçonnerie.</w:t>
      </w:r>
    </w:p>
    <w:p w14:paraId="58AB6CF2" w14:textId="72218825" w:rsidR="00800742" w:rsidRDefault="00800742" w:rsidP="00800742">
      <w:pPr>
        <w:pStyle w:val="Paragraphedeliste"/>
        <w:numPr>
          <w:ilvl w:val="0"/>
          <w:numId w:val="2"/>
        </w:numPr>
      </w:pPr>
      <w:r>
        <w:t>Tous détails d'engravures, de feuillures suivant plans de l'Architecte et préconisations des BET</w:t>
      </w:r>
    </w:p>
    <w:p w14:paraId="437F599A" w14:textId="2F6FF553" w:rsidR="00800742" w:rsidRDefault="00800742" w:rsidP="00800742">
      <w:pPr>
        <w:pStyle w:val="Paragraphedeliste"/>
        <w:numPr>
          <w:ilvl w:val="0"/>
          <w:numId w:val="2"/>
        </w:numPr>
      </w:pPr>
      <w:r>
        <w:t>Tout r</w:t>
      </w:r>
      <w:r w:rsidRPr="00B4433B">
        <w:t xml:space="preserve">agréage de surface par mortier à base cimentaire </w:t>
      </w:r>
      <w:r w:rsidRPr="00800742">
        <w:t>de type MAPEI Niv</w:t>
      </w:r>
      <w:r w:rsidR="00521C31">
        <w:t>opate (PE ou F)</w:t>
      </w:r>
      <w:r w:rsidRPr="00800742">
        <w:t xml:space="preserve"> ou équivalent</w:t>
      </w:r>
      <w:r w:rsidRPr="00B4433B">
        <w:t xml:space="preserve"> pour </w:t>
      </w:r>
      <w:r>
        <w:t>pose des</w:t>
      </w:r>
      <w:r w:rsidRPr="00B4433B">
        <w:t xml:space="preserve"> menuiseries en applique</w:t>
      </w:r>
    </w:p>
    <w:p w14:paraId="079D530C" w14:textId="7F6E3B9D" w:rsidR="00800742" w:rsidRPr="00275D53" w:rsidRDefault="00800742" w:rsidP="00800742">
      <w:pPr>
        <w:pStyle w:val="Paragraphedeliste"/>
        <w:numPr>
          <w:ilvl w:val="0"/>
          <w:numId w:val="2"/>
        </w:numPr>
      </w:pPr>
      <w:r>
        <w:t>Toutes façons, tous détails, tous éléments et accessoires pour une parfaite réalisation et finition de (ou des) l'ouvrage(s), et toutes sujétions d'exécution.</w:t>
      </w:r>
    </w:p>
    <w:p w14:paraId="5042EA0D" w14:textId="77777777" w:rsidR="00800742" w:rsidRDefault="00800742" w:rsidP="00BC4B43"/>
    <w:p w14:paraId="1C14BFE4" w14:textId="733BEF5A" w:rsidR="00C50A14" w:rsidRDefault="00C50A14" w:rsidP="00BC4B43">
      <w:r>
        <w:t>Quantités :</w:t>
      </w:r>
    </w:p>
    <w:p w14:paraId="7D92DE39" w14:textId="3F665C10" w:rsidR="00A3036E" w:rsidRPr="00A95CED" w:rsidRDefault="00A3036E" w:rsidP="00A3036E">
      <w:pPr>
        <w:pStyle w:val="Paragraphedeliste"/>
        <w:numPr>
          <w:ilvl w:val="0"/>
          <w:numId w:val="2"/>
        </w:numPr>
      </w:pPr>
      <w:r w:rsidRPr="00A95CED">
        <w:t>Surface « </w:t>
      </w:r>
      <w:r w:rsidR="00230635">
        <w:t xml:space="preserve">comptée </w:t>
      </w:r>
      <w:r w:rsidRPr="00A95CED">
        <w:t xml:space="preserve">vide </w:t>
      </w:r>
      <w:r w:rsidR="00230635">
        <w:t>p</w:t>
      </w:r>
      <w:r w:rsidRPr="00A95CED">
        <w:t>our plein »</w:t>
      </w:r>
      <w:r w:rsidR="00230635">
        <w:t xml:space="preserve"> (rectangle enveloppant du coffrage)</w:t>
      </w:r>
    </w:p>
    <w:p w14:paraId="6C78DBDB" w14:textId="77777777" w:rsidR="006462E8" w:rsidRDefault="006462E8" w:rsidP="00BC4B43"/>
    <w:p w14:paraId="17E0FE54" w14:textId="7130CF67" w:rsidR="00F97416" w:rsidRPr="00275D53" w:rsidRDefault="00F97416" w:rsidP="00E637F8">
      <w:pPr>
        <w:ind w:right="-567"/>
      </w:pPr>
    </w:p>
    <w:sectPr w:rsidR="00F97416" w:rsidRPr="00275D53" w:rsidSect="001B012F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F6E0B" w14:textId="77777777" w:rsidR="00FA6737" w:rsidRDefault="00FA6737" w:rsidP="005414B5">
      <w:pPr>
        <w:spacing w:line="240" w:lineRule="auto"/>
      </w:pPr>
      <w:r>
        <w:separator/>
      </w:r>
    </w:p>
  </w:endnote>
  <w:endnote w:type="continuationSeparator" w:id="0">
    <w:p w14:paraId="01346EF4" w14:textId="77777777" w:rsidR="00FA6737" w:rsidRDefault="00FA6737" w:rsidP="00541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33F33" w14:textId="4B074D52" w:rsidR="005414B5" w:rsidRDefault="005414B5">
    <w:pPr>
      <w:pStyle w:val="Pieddepage"/>
    </w:pPr>
    <w:r>
      <w:t>V1.</w:t>
    </w:r>
    <w:r w:rsidR="00CE26B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2B7AB" w14:textId="77777777" w:rsidR="00FA6737" w:rsidRDefault="00FA6737" w:rsidP="005414B5">
      <w:pPr>
        <w:spacing w:line="240" w:lineRule="auto"/>
      </w:pPr>
      <w:r>
        <w:separator/>
      </w:r>
    </w:p>
  </w:footnote>
  <w:footnote w:type="continuationSeparator" w:id="0">
    <w:p w14:paraId="3697EFA9" w14:textId="77777777" w:rsidR="00FA6737" w:rsidRDefault="00FA6737" w:rsidP="005414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024C7"/>
    <w:multiLevelType w:val="hybridMultilevel"/>
    <w:tmpl w:val="CD609072"/>
    <w:lvl w:ilvl="0" w:tplc="04C09E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07AA8"/>
    <w:multiLevelType w:val="hybridMultilevel"/>
    <w:tmpl w:val="28FCC55C"/>
    <w:lvl w:ilvl="0" w:tplc="CAF0F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87424">
    <w:abstractNumId w:val="1"/>
  </w:num>
  <w:num w:numId="2" w16cid:durableId="57855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F2"/>
    <w:rsid w:val="00004ABB"/>
    <w:rsid w:val="00005F29"/>
    <w:rsid w:val="00011418"/>
    <w:rsid w:val="00046A0A"/>
    <w:rsid w:val="00086523"/>
    <w:rsid w:val="000B6AE7"/>
    <w:rsid w:val="000E20C9"/>
    <w:rsid w:val="00127C46"/>
    <w:rsid w:val="001703CC"/>
    <w:rsid w:val="001714A0"/>
    <w:rsid w:val="001B012F"/>
    <w:rsid w:val="001C106F"/>
    <w:rsid w:val="00230635"/>
    <w:rsid w:val="00275D53"/>
    <w:rsid w:val="002A1FD1"/>
    <w:rsid w:val="002D392E"/>
    <w:rsid w:val="002D6C47"/>
    <w:rsid w:val="0039794A"/>
    <w:rsid w:val="003D35F2"/>
    <w:rsid w:val="003F155A"/>
    <w:rsid w:val="0044151F"/>
    <w:rsid w:val="00490CE7"/>
    <w:rsid w:val="004A7E57"/>
    <w:rsid w:val="00521C31"/>
    <w:rsid w:val="005414B5"/>
    <w:rsid w:val="00552463"/>
    <w:rsid w:val="00583717"/>
    <w:rsid w:val="005900C5"/>
    <w:rsid w:val="006462E8"/>
    <w:rsid w:val="006C2DC8"/>
    <w:rsid w:val="006E080E"/>
    <w:rsid w:val="00800742"/>
    <w:rsid w:val="009316DD"/>
    <w:rsid w:val="00981048"/>
    <w:rsid w:val="009B6404"/>
    <w:rsid w:val="009E34E2"/>
    <w:rsid w:val="00A3036E"/>
    <w:rsid w:val="00A57E25"/>
    <w:rsid w:val="00A95CED"/>
    <w:rsid w:val="00AA29C0"/>
    <w:rsid w:val="00AD6756"/>
    <w:rsid w:val="00AF4A86"/>
    <w:rsid w:val="00B068A1"/>
    <w:rsid w:val="00B417CB"/>
    <w:rsid w:val="00B4433B"/>
    <w:rsid w:val="00B57F2F"/>
    <w:rsid w:val="00BC4B43"/>
    <w:rsid w:val="00C003D8"/>
    <w:rsid w:val="00C50A14"/>
    <w:rsid w:val="00C51505"/>
    <w:rsid w:val="00CE26B6"/>
    <w:rsid w:val="00D3547F"/>
    <w:rsid w:val="00D466C1"/>
    <w:rsid w:val="00D47CF0"/>
    <w:rsid w:val="00DA0EBE"/>
    <w:rsid w:val="00DC1128"/>
    <w:rsid w:val="00E26F3D"/>
    <w:rsid w:val="00E637F8"/>
    <w:rsid w:val="00F06FF2"/>
    <w:rsid w:val="00F97416"/>
    <w:rsid w:val="00FA41B2"/>
    <w:rsid w:val="00FA6737"/>
    <w:rsid w:val="00F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94BF"/>
  <w15:chartTrackingRefBased/>
  <w15:docId w15:val="{CA9567F3-6BDA-4948-8149-DF2CBC3A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FF2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03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3D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A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17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14B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14B5"/>
  </w:style>
  <w:style w:type="paragraph" w:styleId="Pieddepage">
    <w:name w:val="footer"/>
    <w:basedOn w:val="Normal"/>
    <w:link w:val="PieddepageCar"/>
    <w:uiPriority w:val="99"/>
    <w:unhideWhenUsed/>
    <w:rsid w:val="005414B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1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EMPTOZ - CCB Greentech</dc:creator>
  <cp:keywords/>
  <dc:description/>
  <cp:lastModifiedBy>Thomas EMPTOZ - CCB Greentech</cp:lastModifiedBy>
  <cp:revision>3</cp:revision>
  <cp:lastPrinted>2024-10-25T10:49:00Z</cp:lastPrinted>
  <dcterms:created xsi:type="dcterms:W3CDTF">2024-11-05T09:08:00Z</dcterms:created>
  <dcterms:modified xsi:type="dcterms:W3CDTF">2024-11-05T09:09:00Z</dcterms:modified>
</cp:coreProperties>
</file>